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Knivsta kommunfullmäktige</w:t>
      </w:r>
    </w:p>
    <w:p>
      <w:pPr>
        <w:pStyle w:val="Heading1"/>
      </w:pPr>
      <w:r>
        <w:t xml:space="preserve">Stärk SFI och arbetsintegrering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Knivsta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nyanlända ökar i Knivsta. Kommunens integrationsrapport 2025 visar att endast 42 % av SFI-elever når godkänt inom ett år. Bättre språkutbildning och koppling till arbetsmarknaden är avgörande för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Knivsta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barn- och utbildningsnämnden ges i uppdrag att utöka SFI-platser med 30 %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Arbetsförmedlingen och lokala företag formaliseras i avtal.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individuella studieplaner med arbetspraktik införs för alla SFI-deltagare.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av sysselsättningsgrad bland SFI-elever redovisas årligen.</w:t>
      </w:r>
    </w:p>
    <w:p>
      <w:pPr>
        <w:spacing w:before="360"/>
      </w:pPr>
    </w:p>
    <w:p>
      <w:r>
        <w:t xml:space="preserve">Knivsta,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Knivsta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2026-07-14T03:55:50.793Z</dcterms:created>
  <dcterms:modified xsi:type="dcterms:W3CDTF">2026-07-14T03:55:50.793Z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